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120" w:after="0"/>
        <w:ind w:firstLine="357"/>
        <w:jc w:val="center"/>
        <w:rPr>
          <w:rFonts w:ascii="Calibri Light" w:hAnsi="Calibri Light" w:cs="Arial" w:asciiTheme="majorHAnsi" w:hAnsiTheme="majorHAnsi"/>
          <w:lang w:val="en-GB"/>
        </w:rPr>
      </w:pPr>
      <w:r>
        <w:rPr>
          <w:rFonts w:cs="Arial" w:ascii="Calibri Light" w:hAnsi="Calibri Light" w:asciiTheme="majorHAnsi" w:hAnsiTheme="majorHAnsi"/>
          <w:b/>
          <w:lang w:val="en-GB"/>
        </w:rPr>
        <w:t>COURSE OUTLINE</w:t>
      </w:r>
    </w:p>
    <w:p>
      <w:pPr>
        <w:pStyle w:val="Normal"/>
        <w:widowControl w:val="false"/>
        <w:numPr>
          <w:ilvl w:val="0"/>
          <w:numId w:val="1"/>
        </w:numPr>
        <w:spacing w:lineRule="auto" w:line="276" w:before="120" w:after="200"/>
        <w:ind w:left="357" w:hanging="357"/>
        <w:rPr>
          <w:rFonts w:ascii="Calibri Light" w:hAnsi="Calibri Light" w:cs="Arial" w:asciiTheme="majorHAnsi" w:hAnsiTheme="majorHAnsi"/>
          <w:b/>
          <w:b/>
          <w:color w:val="000000"/>
          <w:sz w:val="22"/>
          <w:szCs w:val="22"/>
          <w:lang w:val="en-GB"/>
        </w:rPr>
      </w:pPr>
      <w:r>
        <w:rPr>
          <w:rFonts w:cs="Arial" w:ascii="Calibri Light" w:hAnsi="Calibri Light" w:asciiTheme="majorHAnsi" w:hAnsiTheme="majorHAnsi"/>
          <w:b/>
          <w:color w:val="000000"/>
          <w:sz w:val="22"/>
          <w:szCs w:val="22"/>
          <w:lang w:val="en-GB"/>
        </w:rPr>
        <w:t>GENERAL</w:t>
      </w:r>
    </w:p>
    <w:tbl>
      <w:tblPr>
        <w:tblW w:w="843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3203"/>
        <w:gridCol w:w="1136"/>
        <w:gridCol w:w="1297"/>
        <w:gridCol w:w="1208"/>
        <w:gridCol w:w="351"/>
        <w:gridCol w:w="1240"/>
      </w:tblGrid>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SCHOOL</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rPr>
            </w:pPr>
            <w:r>
              <w:rPr>
                <w:rFonts w:cs="Arial" w:ascii="Calibri Light" w:hAnsi="Calibri Light" w:asciiTheme="majorHAnsi" w:hAnsiTheme="majorHAnsi"/>
                <w:color w:val="002060"/>
                <w:sz w:val="20"/>
                <w:szCs w:val="20"/>
              </w:rPr>
              <w:t>School of Environment</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ACADEMIC UNIT</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Department of Environment</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LEVEL OF STUDIES</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Undergraduate</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COURSE CODE</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b/>
                <w:b/>
                <w:sz w:val="20"/>
                <w:szCs w:val="20"/>
                <w:lang w:val="en-GB"/>
              </w:rPr>
            </w:pPr>
            <w:r>
              <w:rPr>
                <w:rFonts w:cs="Arial" w:ascii="Calibri Light" w:hAnsi="Calibri Light"/>
                <w:b/>
                <w:sz w:val="20"/>
                <w:szCs w:val="20"/>
                <w:lang w:val="en-GB"/>
              </w:rPr>
            </w:r>
          </w:p>
        </w:tc>
        <w:tc>
          <w:tcPr>
            <w:tcW w:w="2505" w:type="dxa"/>
            <w:gridSpan w:val="2"/>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SEMESTER</w:t>
            </w:r>
          </w:p>
        </w:tc>
        <w:tc>
          <w:tcPr>
            <w:tcW w:w="15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3</w:t>
            </w:r>
          </w:p>
        </w:tc>
      </w:tr>
      <w:tr>
        <w:trPr>
          <w:trHeight w:val="375" w:hRule="atLeast"/>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COURSE TITLE</w:t>
            </w:r>
          </w:p>
        </w:tc>
        <w:tc>
          <w:tcPr>
            <w:tcW w:w="523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Light" w:hAnsi="Calibri Light" w:cs="Arial" w:asciiTheme="majorHAnsi" w:hAnsiTheme="majorHAnsi"/>
                <w:sz w:val="20"/>
                <w:szCs w:val="20"/>
                <w:lang w:val="en-GB"/>
              </w:rPr>
            </w:pPr>
            <w:r>
              <w:rPr>
                <w:rFonts w:cs="Arial" w:ascii="Calibri Light" w:hAnsi="Calibri Light" w:asciiTheme="majorHAnsi" w:hAnsiTheme="majorHAnsi"/>
                <w:sz w:val="20"/>
                <w:szCs w:val="20"/>
                <w:lang w:val="en-GB"/>
              </w:rPr>
              <w:t>Climatology-Meteorology</w:t>
            </w:r>
          </w:p>
        </w:tc>
      </w:tr>
      <w:tr>
        <w:trPr>
          <w:trHeight w:val="196" w:hRule="atLeast"/>
        </w:trPr>
        <w:tc>
          <w:tcPr>
            <w:tcW w:w="5636" w:type="dxa"/>
            <w:gridSpan w:val="3"/>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jc w:val="center"/>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 xml:space="preserve">INDEPENDENT TEACHING ACTIVITIES </w:t>
              <w:br/>
            </w:r>
            <w:r>
              <w:rPr>
                <w:rFonts w:cs="Arial" w:ascii="Calibri Light" w:hAnsi="Calibri Light" w:asciiTheme="majorHAnsi" w:hAnsiTheme="majorHAns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jc w:val="center"/>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WEEKLY TEACHING HOURS</w:t>
            </w:r>
          </w:p>
        </w:tc>
        <w:tc>
          <w:tcPr>
            <w:tcW w:w="12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jc w:val="center"/>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CREDITS</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Lectures</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3</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5</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Laboratory exercises</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b/>
                <w:b/>
                <w:color w:val="002060"/>
                <w:sz w:val="20"/>
                <w:szCs w:val="20"/>
                <w:lang w:val="en-GB"/>
              </w:rPr>
            </w:pPr>
            <w:r>
              <w:rPr>
                <w:rFonts w:cs="Arial" w:ascii="Calibri Light" w:hAnsi="Calibri Light"/>
                <w:b/>
                <w:color w:val="002060"/>
                <w:sz w:val="20"/>
                <w:szCs w:val="20"/>
                <w:lang w:val="en-GB"/>
              </w:rPr>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rPr>
                <w:rFonts w:ascii="Calibri Light" w:hAnsi="Calibri Light" w:cs="Arial" w:asciiTheme="majorHAnsi" w:hAnsiTheme="majorHAnsi"/>
                <w:i/>
                <w:i/>
                <w:sz w:val="18"/>
                <w:szCs w:val="18"/>
                <w:lang w:val="en-GB"/>
              </w:rPr>
            </w:pPr>
            <w:r>
              <w:rPr>
                <w:rFonts w:cs="Arial" w:ascii="Calibri Light" w:hAnsi="Calibri Light" w:asciiTheme="majorHAnsi" w:hAnsiTheme="majorHAnsi"/>
                <w:i/>
                <w:sz w:val="18"/>
                <w:szCs w:val="18"/>
                <w:lang w:val="en-GB"/>
              </w:rPr>
              <w:t>Add rows if necessary. The organisation of teaching and the teaching methods used are described in detail at (d).</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rHeight w:val="599" w:hRule="atLeast"/>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i/>
                <w:i/>
                <w:sz w:val="16"/>
                <w:szCs w:val="16"/>
                <w:lang w:val="en-GB"/>
              </w:rPr>
            </w:pPr>
            <w:r>
              <w:rPr>
                <w:rFonts w:cs="Arial" w:ascii="Calibri Light" w:hAnsi="Calibri Light" w:asciiTheme="majorHAnsi" w:hAnsiTheme="majorHAnsi"/>
                <w:b/>
                <w:sz w:val="20"/>
                <w:szCs w:val="20"/>
                <w:lang w:val="en-GB"/>
              </w:rPr>
              <w:t>COURSE TYPE</w:t>
            </w:r>
          </w:p>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i/>
                <w:sz w:val="16"/>
                <w:szCs w:val="16"/>
                <w:lang w:val="en-GB"/>
              </w:rPr>
              <w:t xml:space="preserve">general background, </w:t>
              <w:br/>
              <w:t>special background, specialised general knowledge, skills development</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Special Background</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PREREQUISITE COURSES:</w:t>
            </w:r>
          </w:p>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b/>
                <w:sz w:val="20"/>
                <w:szCs w:val="20"/>
                <w:lang w:val="en-GB"/>
              </w:rPr>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LANGUAGE OF INSTRUCTION and EXAMINATIONS:</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Greek</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IS THE COURSE OFFERED TO ERASMUS STUDENTS</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No</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COURSE WEBSITE (URL)</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Calibri Light" w:hAnsi="Calibri Light" w:eastAsia="Calibri" w:cs="Arial" w:asciiTheme="majorHAnsi" w:hAnsiTheme="majorHAnsi"/>
                <w:color w:val="002060"/>
                <w:sz w:val="20"/>
                <w:szCs w:val="20"/>
                <w:lang w:val="en-GB"/>
              </w:rPr>
            </w:pPr>
            <w:r>
              <w:rPr>
                <w:rFonts w:eastAsia="Calibri" w:cs="Arial" w:ascii="Calibri Light" w:hAnsi="Calibri Light" w:asciiTheme="majorHAnsi" w:hAnsiTheme="majorHAnsi"/>
                <w:color w:val="002060"/>
                <w:sz w:val="20"/>
                <w:szCs w:val="20"/>
                <w:lang w:val="en-GB"/>
              </w:rPr>
              <w:t>http://</w:t>
            </w:r>
            <w:r>
              <w:rPr>
                <w:rFonts w:eastAsia="Calibri" w:cs="Arial" w:ascii="Calibri Light" w:hAnsi="Calibri Light" w:asciiTheme="majorHAnsi" w:hAnsiTheme="majorHAnsi"/>
                <w:color w:val="002060"/>
                <w:sz w:val="20"/>
                <w:szCs w:val="20"/>
                <w:lang w:val="en-GB"/>
              </w:rPr>
              <w:t>aegeanmoodle.aegean.gr</w:t>
            </w:r>
          </w:p>
        </w:tc>
      </w:tr>
    </w:tbl>
    <w:p>
      <w:pPr>
        <w:pStyle w:val="Normal"/>
        <w:widowControl w:val="false"/>
        <w:numPr>
          <w:ilvl w:val="0"/>
          <w:numId w:val="1"/>
        </w:numPr>
        <w:spacing w:lineRule="auto" w:line="276" w:before="120" w:after="200"/>
        <w:ind w:left="357" w:hanging="357"/>
        <w:rPr>
          <w:rFonts w:ascii="Calibri Light" w:hAnsi="Calibri Light" w:cs="Arial" w:asciiTheme="majorHAnsi" w:hAnsiTheme="majorHAnsi"/>
          <w:b/>
          <w:b/>
          <w:color w:val="000000"/>
          <w:sz w:val="22"/>
          <w:szCs w:val="22"/>
          <w:lang w:val="en-GB"/>
        </w:rPr>
      </w:pPr>
      <w:r>
        <w:rPr>
          <w:rFonts w:cs="Arial" w:ascii="Calibri Light" w:hAnsi="Calibri Light" w:asciiTheme="majorHAnsi" w:hAnsiTheme="majorHAnsi"/>
          <w:b/>
          <w:color w:val="000000"/>
          <w:sz w:val="22"/>
          <w:szCs w:val="22"/>
          <w:lang w:val="en-GB"/>
        </w:rPr>
        <w:t>LEARNING OUTCOMES</w:t>
      </w:r>
    </w:p>
    <w:tbl>
      <w:tblPr>
        <w:tblW w:w="8472"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3964"/>
        <w:gridCol w:w="4507"/>
      </w:tblGrid>
      <w:tr>
        <w:trPr/>
        <w:tc>
          <w:tcPr>
            <w:tcW w:w="8471" w:type="dxa"/>
            <w:gridSpan w:val="2"/>
            <w:tcBorders>
              <w:top w:val="single" w:sz="4" w:space="0" w:color="000000"/>
              <w:left w:val="single" w:sz="4" w:space="0" w:color="000000"/>
              <w:right w:val="single" w:sz="4" w:space="0" w:color="000000"/>
            </w:tcBorders>
            <w:shd w:color="auto" w:fill="D0CECE" w:themeFill="background2" w:themeFillShade="e6" w:val="clear"/>
          </w:tcPr>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b/>
                <w:sz w:val="20"/>
                <w:szCs w:val="20"/>
                <w:lang w:val="en-GB"/>
              </w:rPr>
              <w:t>Learning outcomes</w:t>
            </w:r>
          </w:p>
        </w:tc>
      </w:tr>
      <w:tr>
        <w:trPr/>
        <w:tc>
          <w:tcPr>
            <w:tcW w:w="8471" w:type="dxa"/>
            <w:gridSpan w:val="2"/>
            <w:tcBorders>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spacing w:before="0" w:after="60"/>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The course learning outcomes, specific knowledge, skills and competences of an appropriate level, which the students will acquire with the successful completion of the course are described.</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Consult Appendix A</w:t>
            </w:r>
          </w:p>
          <w:p>
            <w:pPr>
              <w:pStyle w:val="Normal"/>
              <w:widowControl w:val="false"/>
              <w:numPr>
                <w:ilvl w:val="0"/>
                <w:numId w:val="2"/>
              </w:numPr>
              <w:spacing w:lineRule="auto" w:line="276" w:before="0" w:after="200"/>
              <w:ind w:left="313" w:hanging="219"/>
              <w:contextualSpacing/>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Description of the level of learning outcomes for each qualifications cycle, according to the Qualifications Framework of the European Higher Education Area</w:t>
            </w:r>
          </w:p>
          <w:p>
            <w:pPr>
              <w:pStyle w:val="Normal"/>
              <w:widowControl w:val="false"/>
              <w:numPr>
                <w:ilvl w:val="0"/>
                <w:numId w:val="2"/>
              </w:numPr>
              <w:spacing w:lineRule="auto" w:line="276" w:before="0" w:after="200"/>
              <w:ind w:left="313" w:hanging="219"/>
              <w:contextualSpacing/>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Descriptors for Levels 6, 7 &amp; 8 of the European Qualifications Framework for Lifelong Learning and Appendix B</w:t>
            </w:r>
          </w:p>
          <w:p>
            <w:pPr>
              <w:pStyle w:val="Normal"/>
              <w:widowControl w:val="false"/>
              <w:numPr>
                <w:ilvl w:val="0"/>
                <w:numId w:val="2"/>
              </w:numPr>
              <w:spacing w:lineRule="auto" w:line="276" w:before="0" w:after="200"/>
              <w:ind w:left="313" w:hanging="219"/>
              <w:contextualSpacing/>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Guidelines for writing Learning Outcomes</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ind w:left="567" w:hanging="360"/>
              <w:rPr>
                <w:rFonts w:ascii="Calibri" w:hAnsi="Calibri" w:eastAsia="Calibri"/>
                <w:b/>
                <w:b/>
                <w:color w:val="002060"/>
              </w:rPr>
            </w:pPr>
            <w:r>
              <w:rPr>
                <w:rFonts w:eastAsia="Calibri" w:ascii="Calibri" w:hAnsi="Calibri"/>
                <w:b/>
                <w:color w:val="002060"/>
              </w:rPr>
              <w:t>Description of principles primarily of climatology and secondarily of meteorology</w:t>
            </w:r>
          </w:p>
          <w:p>
            <w:pPr>
              <w:pStyle w:val="ListParagraph"/>
              <w:widowControl w:val="false"/>
              <w:numPr>
                <w:ilvl w:val="0"/>
                <w:numId w:val="2"/>
              </w:numPr>
              <w:ind w:left="567" w:hanging="360"/>
              <w:rPr>
                <w:rFonts w:ascii="Calibri" w:hAnsi="Calibri" w:eastAsia="Calibri"/>
                <w:b/>
                <w:b/>
                <w:color w:val="002060"/>
              </w:rPr>
            </w:pPr>
            <w:r>
              <w:rPr>
                <w:rFonts w:eastAsia="Calibri" w:ascii="Calibri" w:hAnsi="Calibri"/>
                <w:b/>
                <w:color w:val="002060"/>
              </w:rPr>
              <w:t>Identification of the physical mechanisms that affect the climate of a region</w:t>
            </w:r>
          </w:p>
          <w:p>
            <w:pPr>
              <w:pStyle w:val="ListParagraph"/>
              <w:widowControl w:val="false"/>
              <w:numPr>
                <w:ilvl w:val="0"/>
                <w:numId w:val="2"/>
              </w:numPr>
              <w:ind w:left="567" w:hanging="360"/>
              <w:rPr>
                <w:rFonts w:ascii="Calibri" w:hAnsi="Calibri" w:eastAsia="Calibri"/>
                <w:b/>
                <w:b/>
                <w:color w:val="002060"/>
              </w:rPr>
            </w:pPr>
            <w:r>
              <w:rPr>
                <w:rFonts w:eastAsia="Calibri" w:ascii="Calibri" w:hAnsi="Calibri"/>
                <w:b/>
                <w:color w:val="002060"/>
              </w:rPr>
              <w:t>Assessment of the importance of climatic quantities for human activities and well-being</w:t>
            </w:r>
          </w:p>
          <w:p>
            <w:pPr>
              <w:pStyle w:val="ListParagraph"/>
              <w:widowControl w:val="false"/>
              <w:numPr>
                <w:ilvl w:val="0"/>
                <w:numId w:val="2"/>
              </w:numPr>
              <w:ind w:left="567" w:hanging="360"/>
              <w:rPr>
                <w:rFonts w:ascii="Calibri" w:hAnsi="Calibri" w:eastAsia="Calibri"/>
                <w:b/>
                <w:b/>
                <w:color w:val="002060"/>
              </w:rPr>
            </w:pPr>
            <w:r>
              <w:rPr>
                <w:rFonts w:eastAsia="Calibri" w:ascii="Calibri" w:hAnsi="Calibri"/>
                <w:b/>
                <w:color w:val="002060"/>
              </w:rPr>
              <w:t>Analysis of atmospheric and climate processes in relevant environmental problems (ozone depletion, climate change, etc)</w:t>
            </w:r>
          </w:p>
        </w:tc>
      </w:tr>
      <w:tr>
        <w:trPr/>
        <w:tc>
          <w:tcPr>
            <w:tcW w:w="8471" w:type="dxa"/>
            <w:gridSpan w:val="2"/>
            <w:tcBorders>
              <w:top w:val="single" w:sz="4" w:space="0" w:color="000000"/>
              <w:left w:val="single" w:sz="4" w:space="0" w:color="000000"/>
              <w:right w:val="single" w:sz="4" w:space="0" w:color="000000"/>
            </w:tcBorders>
            <w:shd w:color="auto" w:fill="D0CECE" w:themeFill="background2" w:themeFillShade="e6" w:val="clear"/>
          </w:tcPr>
          <w:p>
            <w:pPr>
              <w:pStyle w:val="Normal"/>
              <w:widowControl w:val="false"/>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General Competences</w:t>
            </w:r>
          </w:p>
        </w:tc>
      </w:tr>
      <w:tr>
        <w:trPr/>
        <w:tc>
          <w:tcPr>
            <w:tcW w:w="8471" w:type="dxa"/>
            <w:gridSpan w:val="2"/>
            <w:tcBorders>
              <w:left w:val="single" w:sz="4" w:space="0" w:color="000000"/>
              <w:right w:val="single" w:sz="4" w:space="0" w:color="000000"/>
            </w:tcBorders>
            <w:shd w:color="auto" w:fill="D0CECE" w:themeFill="background2" w:themeFillShade="e6" w:val="clear"/>
          </w:tcPr>
          <w:p>
            <w:pPr>
              <w:pStyle w:val="Normal"/>
              <w:widowControl w:val="false"/>
              <w:spacing w:before="0" w:after="60"/>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Taking into consideration the general competences that the degree-holder must acquire (as these appear in the Diploma Supplement and appear below), at which of the following does the course aim?</w:t>
            </w:r>
          </w:p>
        </w:tc>
      </w:tr>
      <w:tr>
        <w:trPr/>
        <w:tc>
          <w:tcPr>
            <w:tcW w:w="3964" w:type="dxa"/>
            <w:tcBorders>
              <w:left w:val="single" w:sz="4" w:space="0" w:color="000000"/>
              <w:bottom w:val="single" w:sz="4" w:space="0" w:color="000000"/>
            </w:tcBorders>
            <w:shd w:color="auto" w:fill="D0CECE" w:themeFill="background2" w:themeFillShade="e6" w:val="clear"/>
          </w:tcPr>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Search for, analysis and synthesis of data and information, with the use of the necessary technology</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Adapting to new situations</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Decision-making</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Working independently</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Team work</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Working in an international environment</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Working in an interdisciplinary environment</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Production of new research ideas</w:t>
            </w:r>
          </w:p>
        </w:tc>
        <w:tc>
          <w:tcPr>
            <w:tcW w:w="4507" w:type="dxa"/>
            <w:tcBorders>
              <w:bottom w:val="single" w:sz="4" w:space="0" w:color="000000"/>
              <w:right w:val="single" w:sz="4" w:space="0" w:color="000000"/>
            </w:tcBorders>
            <w:shd w:color="auto" w:fill="D0CECE" w:themeFill="background2" w:themeFillShade="e6" w:val="clear"/>
          </w:tcPr>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Project planning and management</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Respect for difference and multiculturalism</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Respect for the natural environment</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Showing social, professional and ethical responsibility and sensitivity to gender issues</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Criticism and self-criticism</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Production of free, creative and inductive thinking</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Others…</w:t>
            </w:r>
          </w:p>
          <w:p>
            <w:pPr>
              <w:pStyle w:val="Normal"/>
              <w:widowControl w:val="false"/>
              <w:rPr>
                <w:rFonts w:ascii="Calibri Light" w:hAnsi="Calibri Light" w:cs="Arial" w:asciiTheme="majorHAnsi" w:hAnsiTheme="majorHAnsi"/>
                <w:b/>
                <w:b/>
                <w:sz w:val="20"/>
                <w:szCs w:val="20"/>
                <w:lang w:val="en-GB"/>
              </w:rPr>
            </w:pPr>
            <w:r>
              <w:rPr>
                <w:rFonts w:cs="Arial" w:ascii="Calibri Light" w:hAnsi="Calibri Light" w:asciiTheme="majorHAnsi" w:hAnsiTheme="majorHAnsi"/>
                <w:i/>
                <w:sz w:val="16"/>
                <w:szCs w:val="16"/>
                <w:lang w:val="en-GB"/>
              </w:rPr>
              <w:t>……</w:t>
            </w:r>
            <w:r>
              <w:rPr>
                <w:rFonts w:cs="Arial" w:ascii="Calibri Light" w:hAnsi="Calibri Light" w:asciiTheme="majorHAnsi" w:hAnsiTheme="majorHAnsi"/>
                <w:i/>
                <w:sz w:val="16"/>
                <w:szCs w:val="16"/>
                <w:lang w:val="en-GB"/>
              </w:rPr>
              <w:t>.</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Calibri"/>
                <w:color w:val="002060"/>
              </w:rPr>
            </w:pPr>
            <w:r>
              <w:rPr>
                <w:rFonts w:eastAsia="Calibri" w:ascii="Calibri" w:hAnsi="Calibri"/>
                <w:color w:val="002060"/>
              </w:rPr>
              <w:t>Production of free, creative and inductive thinking</w:t>
            </w:r>
          </w:p>
          <w:p>
            <w:pPr>
              <w:pStyle w:val="Normal"/>
              <w:widowControl w:val="false"/>
              <w:rPr>
                <w:rFonts w:ascii="Calibri" w:hAnsi="Calibri" w:eastAsia="Calibri"/>
                <w:color w:val="002060"/>
              </w:rPr>
            </w:pPr>
            <w:r>
              <w:rPr>
                <w:rFonts w:eastAsia="Calibri" w:ascii="Calibri" w:hAnsi="Calibri"/>
                <w:color w:val="002060"/>
              </w:rPr>
              <w:t>Production of new research ideas</w:t>
            </w:r>
          </w:p>
          <w:p>
            <w:pPr>
              <w:pStyle w:val="Normal"/>
              <w:widowControl w:val="false"/>
              <w:rPr>
                <w:rFonts w:ascii="Calibri" w:hAnsi="Calibri" w:eastAsia="Calibri"/>
                <w:color w:val="002060"/>
              </w:rPr>
            </w:pPr>
            <w:r>
              <w:rPr>
                <w:rFonts w:eastAsia="Calibri" w:ascii="Calibri" w:hAnsi="Calibri"/>
                <w:color w:val="002060"/>
              </w:rPr>
              <w:t>Working independently</w:t>
            </w:r>
            <w:bookmarkStart w:id="0" w:name="_GoBack"/>
            <w:bookmarkEnd w:id="0"/>
          </w:p>
          <w:p>
            <w:pPr>
              <w:pStyle w:val="Normal"/>
              <w:widowControl w:val="false"/>
              <w:rPr>
                <w:rFonts w:ascii="Calibri" w:hAnsi="Calibri" w:eastAsia="Calibri"/>
                <w:color w:val="002060"/>
                <w:lang w:val="en-GB"/>
              </w:rPr>
            </w:pPr>
            <w:r>
              <w:rPr>
                <w:rFonts w:eastAsia="Calibri" w:ascii="Calibri" w:hAnsi="Calibri"/>
                <w:color w:val="002060"/>
                <w:lang w:val="en-GB"/>
              </w:rPr>
              <w:t>Search for, analysis and synthesis of data and information, with the use of the necessary technology</w:t>
            </w:r>
          </w:p>
        </w:tc>
      </w:tr>
    </w:tbl>
    <w:p>
      <w:pPr>
        <w:pStyle w:val="Normal"/>
        <w:widowControl w:val="false"/>
        <w:numPr>
          <w:ilvl w:val="0"/>
          <w:numId w:val="1"/>
        </w:numPr>
        <w:spacing w:lineRule="auto" w:line="276" w:before="120" w:after="200"/>
        <w:ind w:left="357" w:hanging="357"/>
        <w:rPr>
          <w:rFonts w:ascii="Calibri Light" w:hAnsi="Calibri Light" w:cs="Arial" w:asciiTheme="majorHAnsi" w:hAnsiTheme="majorHAnsi"/>
          <w:b/>
          <w:b/>
          <w:color w:val="000000"/>
          <w:sz w:val="22"/>
          <w:szCs w:val="22"/>
          <w:lang w:val="en-GB"/>
        </w:rPr>
      </w:pPr>
      <w:r>
        <w:rPr>
          <w:rFonts w:cs="Arial" w:ascii="Calibri Light" w:hAnsi="Calibri Light" w:asciiTheme="majorHAnsi" w:hAnsiTheme="majorHAnsi"/>
          <w:b/>
          <w:color w:val="000000"/>
          <w:sz w:val="22"/>
          <w:szCs w:val="22"/>
          <w:lang w:val="en-GB"/>
        </w:rPr>
        <w:t>SYLLABUS</w:t>
      </w:r>
    </w:p>
    <w:tbl>
      <w:tblPr>
        <w:tblW w:w="8472"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Constitution and structure of the atmosphere, ozone layer</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Heat transfer, radiation</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Solar energy, radiation budget</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Greenhouse effect, atmospheric temperature, temperature inversion</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Wind chill, humidity, dew point</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Condensation, clouds, atmospheric stability</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Cloud formation, rain creation</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Precipitations, atmospheric pressure</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Wind, geostrophic and surface wind</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Pressure systems, breezes, thermal circulation</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General circulation of the atmosphere, el Niño, air masses</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Fronts, polar front theory</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Earth climates, Koeppen classification</w:t>
            </w:r>
          </w:p>
        </w:tc>
      </w:tr>
    </w:tbl>
    <w:p>
      <w:pPr>
        <w:pStyle w:val="Normal"/>
        <w:widowControl w:val="false"/>
        <w:spacing w:lineRule="auto" w:line="276" w:before="120" w:after="200"/>
        <w:rPr>
          <w:rFonts w:ascii="Calibri Light" w:hAnsi="Calibri Light" w:cs="Arial" w:asciiTheme="majorHAnsi" w:hAnsiTheme="majorHAnsi"/>
          <w:b/>
          <w:b/>
          <w:color w:val="000000"/>
          <w:sz w:val="22"/>
          <w:szCs w:val="22"/>
          <w:lang w:val="en-GB"/>
        </w:rPr>
      </w:pPr>
      <w:r>
        <w:rPr>
          <w:rFonts w:cs="Arial" w:ascii="Calibri Light" w:hAnsi="Calibri Light"/>
          <w:b/>
          <w:color w:val="000000"/>
          <w:sz w:val="22"/>
          <w:szCs w:val="22"/>
          <w:lang w:val="en-GB"/>
        </w:rPr>
      </w:r>
      <w:r>
        <w:br w:type="page"/>
      </w:r>
    </w:p>
    <w:p>
      <w:pPr>
        <w:pStyle w:val="Normal"/>
        <w:widowControl w:val="false"/>
        <w:numPr>
          <w:ilvl w:val="0"/>
          <w:numId w:val="1"/>
        </w:numPr>
        <w:spacing w:lineRule="auto" w:line="276" w:before="120" w:after="200"/>
        <w:ind w:left="357" w:hanging="357"/>
        <w:rPr>
          <w:rFonts w:ascii="Calibri Light" w:hAnsi="Calibri Light" w:cs="Arial" w:asciiTheme="majorHAnsi" w:hAnsiTheme="majorHAnsi"/>
          <w:b/>
          <w:b/>
          <w:color w:val="000000"/>
          <w:sz w:val="22"/>
          <w:szCs w:val="22"/>
          <w:lang w:val="en-GB"/>
        </w:rPr>
      </w:pPr>
      <w:r>
        <w:rPr>
          <w:rFonts w:cs="Arial" w:ascii="Calibri Light" w:hAnsi="Calibri Light" w:asciiTheme="majorHAnsi" w:hAnsiTheme="majorHAnsi"/>
          <w:b/>
          <w:color w:val="000000"/>
          <w:sz w:val="22"/>
          <w:szCs w:val="22"/>
          <w:lang w:val="en-GB"/>
        </w:rPr>
        <w:t>TEACHING and LEARNING METHODS - EVALUATION</w:t>
      </w:r>
    </w:p>
    <w:tbl>
      <w:tblPr>
        <w:tblW w:w="8472"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DELIVERY</w:t>
              <w:br/>
            </w:r>
            <w:r>
              <w:rPr>
                <w:rFonts w:cs="Arial" w:ascii="Calibri Light" w:hAnsi="Calibri Light" w:asciiTheme="majorHAnsi" w:hAnsiTheme="majorHAnsi"/>
                <w:i/>
                <w:sz w:val="16"/>
                <w:szCs w:val="16"/>
                <w:lang w:val="en-GB"/>
              </w:rPr>
              <w:t>Face-to-face, Distance learning, etc.</w:t>
            </w:r>
          </w:p>
        </w:tc>
        <w:tc>
          <w:tcPr>
            <w:tcW w:w="5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Calibri Light" w:hAnsi="Calibri Light" w:eastAsia="Calibri" w:asciiTheme="majorHAnsi" w:hAnsiTheme="majorHAnsi"/>
                <w:iCs/>
                <w:color w:val="002060"/>
                <w:lang w:val="en-GB"/>
              </w:rPr>
            </w:pPr>
            <w:r>
              <w:rPr>
                <w:rFonts w:eastAsia="Calibri" w:ascii="Calibri Light" w:hAnsi="Calibri Light" w:asciiTheme="majorHAnsi" w:hAnsiTheme="majorHAnsi"/>
                <w:iCs/>
                <w:color w:val="002060"/>
                <w:lang w:val="en-GB"/>
              </w:rPr>
              <w:t>Face-to-face</w:t>
            </w:r>
          </w:p>
        </w:tc>
      </w:tr>
      <w:tr>
        <w:trPr/>
        <w:tc>
          <w:tcPr>
            <w:tcW w:w="330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i/>
                <w:i/>
                <w:sz w:val="16"/>
                <w:szCs w:val="16"/>
                <w:lang w:val="en-GB"/>
              </w:rPr>
            </w:pPr>
            <w:r>
              <w:rPr>
                <w:rFonts w:cs="Arial" w:ascii="Calibri Light" w:hAnsi="Calibri Light" w:asciiTheme="majorHAnsi" w:hAnsiTheme="majorHAnsi"/>
                <w:b/>
                <w:sz w:val="20"/>
                <w:szCs w:val="20"/>
                <w:lang w:val="en-GB"/>
              </w:rPr>
              <w:t xml:space="preserve">USE OF INFORMATION AND COMMUNICATIONS TECHNOLOGY </w:t>
              <w:br/>
            </w:r>
            <w:r>
              <w:rPr>
                <w:rFonts w:cs="Arial" w:ascii="Calibri Light" w:hAnsi="Calibri Light" w:asciiTheme="majorHAnsi" w:hAnsiTheme="majorHAnsi"/>
                <w:i/>
                <w:sz w:val="16"/>
                <w:szCs w:val="16"/>
                <w:lang w:val="en-GB"/>
              </w:rPr>
              <w:t>Use of ICT in teaching, laboratory education, communication with students</w:t>
            </w:r>
          </w:p>
        </w:tc>
        <w:tc>
          <w:tcPr>
            <w:tcW w:w="516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b/>
                <w:b/>
                <w:color w:val="002060"/>
                <w:sz w:val="20"/>
                <w:szCs w:val="20"/>
              </w:rPr>
            </w:pPr>
            <w:r>
              <w:rPr>
                <w:rFonts w:cs="Arial" w:ascii="Calibri Light" w:hAnsi="Calibri Light" w:asciiTheme="majorHAnsi" w:hAnsiTheme="majorHAnsi"/>
                <w:b/>
                <w:color w:val="002060"/>
                <w:sz w:val="20"/>
                <w:szCs w:val="20"/>
                <w:lang w:val="en-GB"/>
              </w:rPr>
              <w:t xml:space="preserve">The distribution of course material, </w:t>
            </w:r>
            <w:r>
              <w:rPr>
                <w:rFonts w:cs="Arial" w:ascii="Calibri Light" w:hAnsi="Calibri Light" w:asciiTheme="majorHAnsi" w:hAnsiTheme="majorHAnsi"/>
                <w:b/>
                <w:color w:val="002060"/>
                <w:sz w:val="20"/>
                <w:szCs w:val="20"/>
              </w:rPr>
              <w:t>as well as a significant part of the evaluation is through the electronic platform moodle (aegeanmoodle.aegean.gr)</w:t>
            </w:r>
          </w:p>
        </w:tc>
      </w:tr>
      <w:tr>
        <w:trPr/>
        <w:tc>
          <w:tcPr>
            <w:tcW w:w="330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TEACHING METHODS</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The manner and methods of teaching are described in detail.</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i/>
                <w:sz w:val="16"/>
                <w:szCs w:val="16"/>
                <w:lang w:val="en-GB"/>
              </w:rPr>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The student's study hours for each learning activity are given as well as the hours of non-directed study according to the principles of the ECTS</w:t>
            </w:r>
          </w:p>
        </w:tc>
        <w:tc>
          <w:tcPr>
            <w:tcW w:w="5166" w:type="dxa"/>
            <w:tcBorders>
              <w:top w:val="single" w:sz="4" w:space="0" w:color="000000"/>
              <w:left w:val="single" w:sz="4" w:space="0" w:color="000000"/>
              <w:bottom w:val="single" w:sz="4" w:space="0" w:color="000000"/>
              <w:right w:val="single" w:sz="4" w:space="0" w:color="000000"/>
            </w:tcBorders>
          </w:tcPr>
          <w:tbl>
            <w:tblPr>
              <w:tblStyle w:val="TableGrid3"/>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75"/>
              <w:gridCol w:w="2475"/>
            </w:tblGrid>
            <w:tr>
              <w:trPr/>
              <w:tc>
                <w:tcPr>
                  <w:tcW w:w="2475" w:type="dxa"/>
                  <w:tcBorders/>
                  <w:shd w:color="auto" w:fill="D0CECE" w:themeFill="background2" w:themeFillShade="e6" w:val="clear"/>
                  <w:vAlign w:val="center"/>
                </w:tcPr>
                <w:p>
                  <w:pPr>
                    <w:pStyle w:val="Normal"/>
                    <w:widowControl w:val="false"/>
                    <w:suppressAutoHyphens w:val="true"/>
                    <w:jc w:val="center"/>
                    <w:rPr>
                      <w:rFonts w:ascii="Calibri Light" w:hAnsi="Calibri Light" w:cs="Arial" w:asciiTheme="majorHAnsi" w:hAnsiTheme="majorHAnsi"/>
                      <w:b/>
                      <w:b/>
                      <w:i/>
                      <w:i/>
                      <w:sz w:val="20"/>
                      <w:szCs w:val="20"/>
                      <w:lang w:val="en-GB"/>
                    </w:rPr>
                  </w:pPr>
                  <w:r>
                    <w:rPr>
                      <w:rFonts w:eastAsia="Times New Roman" w:cs="Arial" w:ascii="Calibri Light" w:hAnsi="Calibri Light" w:asciiTheme="majorHAnsi" w:hAnsiTheme="majorHAnsi"/>
                      <w:b/>
                      <w:i/>
                      <w:sz w:val="20"/>
                      <w:szCs w:val="20"/>
                      <w:lang w:val="en-GB"/>
                    </w:rPr>
                    <w:t>Activity</w:t>
                  </w:r>
                </w:p>
              </w:tc>
              <w:tc>
                <w:tcPr>
                  <w:tcW w:w="2475" w:type="dxa"/>
                  <w:tcBorders/>
                  <w:shd w:color="auto" w:fill="D0CECE" w:themeFill="background2" w:themeFillShade="e6" w:val="clear"/>
                  <w:vAlign w:val="center"/>
                </w:tcPr>
                <w:p>
                  <w:pPr>
                    <w:pStyle w:val="Normal"/>
                    <w:widowControl w:val="false"/>
                    <w:suppressAutoHyphens w:val="true"/>
                    <w:jc w:val="center"/>
                    <w:rPr>
                      <w:rFonts w:ascii="Calibri Light" w:hAnsi="Calibri Light" w:cs="Arial" w:asciiTheme="majorHAnsi" w:hAnsiTheme="majorHAnsi"/>
                      <w:b/>
                      <w:b/>
                      <w:i/>
                      <w:i/>
                      <w:sz w:val="20"/>
                      <w:szCs w:val="20"/>
                      <w:lang w:val="en-GB"/>
                    </w:rPr>
                  </w:pPr>
                  <w:r>
                    <w:rPr>
                      <w:rFonts w:eastAsia="Times New Roman" w:cs="Arial" w:ascii="Calibri Light" w:hAnsi="Calibri Light" w:asciiTheme="majorHAnsi" w:hAnsiTheme="majorHAnsi"/>
                      <w:b/>
                      <w:i/>
                      <w:sz w:val="20"/>
                      <w:szCs w:val="20"/>
                      <w:lang w:val="en-GB"/>
                    </w:rPr>
                    <w:t>Semester workload</w:t>
                  </w:r>
                </w:p>
              </w:tc>
            </w:tr>
            <w:tr>
              <w:trPr/>
              <w:tc>
                <w:tcPr>
                  <w:tcW w:w="2475" w:type="dxa"/>
                  <w:tcBorders/>
                </w:tcPr>
                <w:p>
                  <w:pPr>
                    <w:pStyle w:val="Normal"/>
                    <w:widowControl w:val="false"/>
                    <w:suppressAutoHyphens w:val="true"/>
                    <w:rPr>
                      <w:rFonts w:ascii="Calibri Light" w:hAnsi="Calibri Light" w:asciiTheme="majorHAnsi" w:hAnsiTheme="majorHAnsi"/>
                      <w:iCs/>
                      <w:color w:val="002060"/>
                      <w:sz w:val="22"/>
                      <w:szCs w:val="22"/>
                      <w:lang w:val="en-GB"/>
                    </w:rPr>
                  </w:pPr>
                  <w:r>
                    <w:rPr>
                      <w:rFonts w:eastAsia="Times New Roman" w:cs="Times New Roman" w:ascii="Calibri Light" w:hAnsi="Calibri Light" w:asciiTheme="majorHAnsi" w:hAnsiTheme="majorHAnsi"/>
                      <w:iCs/>
                      <w:color w:val="002060"/>
                      <w:sz w:val="22"/>
                      <w:szCs w:val="22"/>
                      <w:lang w:val="en-GB"/>
                    </w:rPr>
                    <w:t>Lectures</w:t>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l-GR"/>
                    </w:rPr>
                  </w:pPr>
                  <w:r>
                    <w:rPr>
                      <w:rFonts w:eastAsia="Times New Roman" w:cs="Arial" w:ascii="Calibri Light" w:hAnsi="Calibri Light" w:asciiTheme="majorHAnsi" w:hAnsiTheme="majorHAnsi"/>
                      <w:color w:val="002060"/>
                      <w:sz w:val="20"/>
                      <w:szCs w:val="20"/>
                      <w:lang w:val="el-GR"/>
                    </w:rPr>
                    <w:t>39</w:t>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eastAsia="Times New Roman" w:cs="Times New Roman" w:ascii="Calibri Light" w:hAnsi="Calibri Light" w:asciiTheme="majorHAnsi" w:hAnsiTheme="majorHAnsi"/>
                      <w:iCs/>
                      <w:color w:val="002060"/>
                      <w:sz w:val="22"/>
                      <w:szCs w:val="22"/>
                      <w:lang w:val="en-GB"/>
                    </w:rPr>
                    <w:t>Study and analysis of bibliography</w:t>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l-GR"/>
                    </w:rPr>
                  </w:pPr>
                  <w:r>
                    <w:rPr>
                      <w:rFonts w:eastAsia="Times New Roman" w:cs="Arial" w:ascii="Calibri Light" w:hAnsi="Calibri Light" w:asciiTheme="majorHAnsi" w:hAnsiTheme="majorHAnsi"/>
                      <w:color w:val="002060"/>
                      <w:sz w:val="20"/>
                      <w:szCs w:val="20"/>
                      <w:lang w:val="el-GR"/>
                    </w:rPr>
                    <w:t>86</w:t>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rPr>
                  </w:pPr>
                  <w:r>
                    <w:rPr>
                      <w:rFonts w:asciiTheme="majorHAnsi" w:hAnsiTheme="majorHAnsi" w:ascii="Calibri Light" w:hAnsi="Calibri Light"/>
                      <w:iCs/>
                      <w:color w:val="002060"/>
                      <w:sz w:val="22"/>
                      <w:szCs w:val="22"/>
                    </w:rPr>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rPr>
                      <w:rFonts w:ascii="Calibri Light" w:hAnsi="Calibri Light" w:cs="Arial" w:asciiTheme="majorHAnsi" w:hAnsiTheme="majorHAnsi"/>
                      <w:i/>
                      <w:i/>
                      <w:color w:val="002060"/>
                      <w:sz w:val="16"/>
                      <w:szCs w:val="16"/>
                      <w:lang w:val="en-GB"/>
                    </w:rPr>
                  </w:pPr>
                  <w:r>
                    <w:rPr>
                      <w:rFonts w:cs="Arial" w:ascii="Calibri Light" w:hAnsi="Calibri Light"/>
                      <w:i/>
                      <w:color w:val="002060"/>
                      <w:sz w:val="16"/>
                      <w:szCs w:val="16"/>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rPr>
                      <w:rFonts w:ascii="Calibri Light" w:hAnsi="Calibri Light" w:cs="Arial" w:asciiTheme="majorHAnsi" w:hAnsiTheme="majorHAnsi"/>
                      <w:i/>
                      <w:i/>
                      <w:color w:val="002060"/>
                      <w:sz w:val="16"/>
                      <w:szCs w:val="16"/>
                      <w:lang w:val="en-GB"/>
                    </w:rPr>
                  </w:pPr>
                  <w:r>
                    <w:rPr>
                      <w:rFonts w:cs="Arial" w:ascii="Calibri Light" w:hAnsi="Calibri Light"/>
                      <w:i/>
                      <w:color w:val="002060"/>
                      <w:sz w:val="16"/>
                      <w:szCs w:val="16"/>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rPr>
                      <w:rFonts w:ascii="Calibri Light" w:hAnsi="Calibri Light" w:cs="Arial" w:asciiTheme="majorHAnsi" w:hAnsiTheme="majorHAnsi"/>
                      <w:i/>
                      <w:i/>
                      <w:color w:val="002060"/>
                      <w:sz w:val="16"/>
                      <w:szCs w:val="16"/>
                      <w:lang w:val="en-GB"/>
                    </w:rPr>
                  </w:pPr>
                  <w:r>
                    <w:rPr>
                      <w:rFonts w:cs="Arial" w:ascii="Calibri Light" w:hAnsi="Calibri Light"/>
                      <w:i/>
                      <w:color w:val="002060"/>
                      <w:sz w:val="16"/>
                      <w:szCs w:val="16"/>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c>
                <w:tcPr>
                  <w:tcW w:w="2475" w:type="dxa"/>
                  <w:tcBorders/>
                </w:tcPr>
                <w:p>
                  <w:pPr>
                    <w:pStyle w:val="Normal"/>
                    <w:widowControl w:val="false"/>
                    <w:suppressAutoHyphens w:val="true"/>
                    <w:rPr>
                      <w:rFonts w:ascii="Calibri Light" w:hAnsi="Calibri Light" w:asciiTheme="majorHAnsi" w:hAnsiTheme="majorHAnsi"/>
                      <w:iCs/>
                      <w:color w:val="002060"/>
                      <w:sz w:val="22"/>
                      <w:szCs w:val="22"/>
                      <w:lang w:val="en-GB"/>
                    </w:rPr>
                  </w:pPr>
                  <w:r>
                    <w:rPr>
                      <w:rFonts w:eastAsia="Times New Roman" w:cs="Times New Roman" w:ascii="Calibri Light" w:hAnsi="Calibri Light" w:asciiTheme="majorHAnsi" w:hAnsiTheme="majorHAnsi"/>
                      <w:iCs/>
                      <w:color w:val="002060"/>
                      <w:sz w:val="22"/>
                      <w:szCs w:val="22"/>
                      <w:lang w:val="en-GB"/>
                    </w:rPr>
                    <w:t>Course total</w:t>
                  </w:r>
                </w:p>
              </w:tc>
              <w:tc>
                <w:tcPr>
                  <w:tcW w:w="2475" w:type="dxa"/>
                  <w:tcBorders/>
                  <w:vAlign w:val="center"/>
                </w:tcPr>
                <w:p>
                  <w:pPr>
                    <w:pStyle w:val="Normal"/>
                    <w:widowControl w:val="false"/>
                    <w:suppressAutoHyphens w:val="true"/>
                    <w:jc w:val="center"/>
                    <w:rPr>
                      <w:rFonts w:ascii="Calibri Light" w:hAnsi="Calibri Light" w:cs="Arial" w:asciiTheme="majorHAnsi" w:hAnsiTheme="majorHAnsi"/>
                      <w:b/>
                      <w:b/>
                      <w:i/>
                      <w:i/>
                      <w:color w:val="002060"/>
                      <w:sz w:val="20"/>
                      <w:szCs w:val="20"/>
                      <w:lang w:val="en-GB"/>
                    </w:rPr>
                  </w:pPr>
                  <w:r>
                    <w:rPr>
                      <w:rFonts w:eastAsia="Times New Roman" w:cs="Arial" w:ascii="Calibri Light" w:hAnsi="Calibri Light" w:asciiTheme="majorHAnsi" w:hAnsiTheme="majorHAnsi"/>
                      <w:b/>
                      <w:i/>
                      <w:color w:val="002060"/>
                      <w:sz w:val="20"/>
                      <w:szCs w:val="20"/>
                      <w:lang w:val="en-GB"/>
                    </w:rPr>
                    <w:t>125</w:t>
                  </w:r>
                </w:p>
              </w:tc>
            </w:tr>
          </w:tbl>
          <w:p>
            <w:pPr>
              <w:pStyle w:val="Normal"/>
              <w:widowControl w:val="false"/>
              <w:rPr>
                <w:rFonts w:ascii="Calibri Light" w:hAnsi="Calibri Light" w:cs="Tahoma" w:asciiTheme="majorHAnsi" w:hAnsiTheme="majorHAnsi"/>
                <w:lang w:val="en-GB"/>
              </w:rPr>
            </w:pPr>
            <w:r>
              <w:rPr>
                <w:rFonts w:cs="Tahoma" w:ascii="Calibri Light" w:hAnsi="Calibri Light"/>
                <w:lang w:val="en-GB"/>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STUDENT PERFORMANCE EVALUATION</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Description of the evaluation procedure</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i/>
                <w:sz w:val="16"/>
                <w:szCs w:val="16"/>
                <w:lang w:val="en-GB"/>
              </w:rPr>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i/>
                <w:sz w:val="16"/>
                <w:szCs w:val="16"/>
                <w:lang w:val="en-GB"/>
              </w:rPr>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Specifically-defined evaluation criteria are given, and if and where they are accessible to students.</w:t>
            </w:r>
          </w:p>
        </w:tc>
        <w:tc>
          <w:tcPr>
            <w:tcW w:w="516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rPr>
            </w:pPr>
            <w:r>
              <w:rPr>
                <w:rFonts w:cs="Arial" w:ascii="Calibri Light" w:hAnsi="Calibri Light" w:asciiTheme="majorHAnsi" w:hAnsiTheme="majorHAnsi"/>
                <w:color w:val="002060"/>
                <w:lang w:val="en-GB"/>
              </w:rPr>
              <w:t xml:space="preserve">Language of evaluation: </w:t>
            </w:r>
            <w:r>
              <w:rPr>
                <w:rFonts w:cs="Arial" w:ascii="Calibri Light" w:hAnsi="Calibri Light" w:asciiTheme="majorHAnsi" w:hAnsiTheme="majorHAnsi"/>
                <w:color w:val="002060"/>
              </w:rPr>
              <w:t>Greek</w:t>
            </w:r>
          </w:p>
          <w:p>
            <w:pPr>
              <w:pStyle w:val="Normal"/>
              <w:widowControl w:val="false"/>
              <w:numPr>
                <w:ilvl w:val="0"/>
                <w:numId w:val="5"/>
              </w:numPr>
              <w:rPr/>
            </w:pPr>
            <w:r>
              <w:rPr>
                <w:rFonts w:cs="Arial" w:ascii="Calibri Light" w:hAnsi="Calibri Light" w:asciiTheme="majorHAnsi" w:hAnsiTheme="majorHAnsi"/>
                <w:color w:val="002060"/>
                <w:lang w:val="en-GB"/>
              </w:rPr>
              <w:t xml:space="preserve">Compulsory weekly quizzes </w:t>
            </w:r>
            <w:r>
              <w:rPr>
                <w:rFonts w:eastAsia="Times New Roman" w:cs="Arial" w:ascii="Calibri Light" w:hAnsi="Calibri Light" w:asciiTheme="majorHAnsi" w:hAnsiTheme="majorHAnsi"/>
                <w:color w:val="002060"/>
                <w:sz w:val="24"/>
                <w:szCs w:val="24"/>
                <w:lang w:val="en-GB"/>
              </w:rPr>
              <w:t>o</w:t>
            </w:r>
            <w:r>
              <w:rPr>
                <w:rFonts w:cs="Arial" w:ascii="Calibri Light" w:hAnsi="Calibri Light" w:asciiTheme="majorHAnsi" w:hAnsiTheme="majorHAnsi"/>
                <w:color w:val="002060"/>
                <w:lang w:val="en-GB"/>
              </w:rPr>
              <w:t>n moodle (30% of the grade)</w:t>
            </w:r>
          </w:p>
          <w:p>
            <w:pPr>
              <w:pStyle w:val="Normal"/>
              <w:widowControl w:val="false"/>
              <w:numPr>
                <w:ilvl w:val="0"/>
                <w:numId w:val="5"/>
              </w:numPr>
              <w:rPr>
                <w:rFonts w:ascii="Calibri Light" w:hAnsi="Calibri Light" w:cs="Arial" w:asciiTheme="majorHAnsi" w:hAnsiTheme="majorHAnsi"/>
                <w:color w:val="002060"/>
                <w:lang w:val="en-GB"/>
              </w:rPr>
            </w:pPr>
            <w:r>
              <w:rPr>
                <w:rFonts w:cs="Arial" w:ascii="Calibri Light" w:hAnsi="Calibri Light"/>
                <w:color w:val="002060"/>
                <w:lang w:val="en-GB"/>
              </w:rPr>
              <w:t>Final examination on moodle (70% of the grade)</w:t>
            </w:r>
          </w:p>
          <w:p>
            <w:pPr>
              <w:pStyle w:val="Normal"/>
              <w:widowControl w:val="false"/>
              <w:rPr>
                <w:rFonts w:ascii="Calibri Light" w:hAnsi="Calibri Light" w:cs="Arial" w:asciiTheme="majorHAnsi" w:hAnsiTheme="majorHAnsi"/>
                <w:color w:val="002060"/>
              </w:rPr>
            </w:pPr>
            <w:r>
              <w:rPr>
                <w:rFonts w:cs="Arial" w:ascii="Calibri Light" w:hAnsi="Calibri Light"/>
                <w:color w:val="002060"/>
              </w:rPr>
            </w:r>
          </w:p>
          <w:p>
            <w:pPr>
              <w:pStyle w:val="Normal"/>
              <w:widowControl w:val="false"/>
              <w:rPr>
                <w:rFonts w:ascii="Calibri Light" w:hAnsi="Calibri Light" w:cs="Arial" w:asciiTheme="majorHAnsi" w:hAnsiTheme="majorHAnsi"/>
                <w:color w:val="002060"/>
              </w:rPr>
            </w:pPr>
            <w:r>
              <w:rPr>
                <w:rFonts w:cs="Arial" w:ascii="Calibri Light" w:hAnsi="Calibri Light" w:asciiTheme="majorHAnsi" w:hAnsiTheme="majorHAnsi"/>
                <w:color w:val="002060"/>
                <w:lang w:val="en-GB"/>
              </w:rPr>
              <w:t>Both quizzes and final exam consist of m</w:t>
            </w:r>
            <w:r>
              <w:rPr>
                <w:rFonts w:cs="Arial" w:ascii="Calibri Light" w:hAnsi="Calibri Light" w:asciiTheme="majorHAnsi" w:hAnsiTheme="majorHAnsi"/>
                <w:color w:val="002060"/>
              </w:rPr>
              <w:t>ultiple choice question</w:t>
            </w:r>
            <w:r>
              <w:rPr>
                <w:rFonts w:eastAsia="Times New Roman" w:cs="Arial" w:ascii="Calibri Light" w:hAnsi="Calibri Light" w:asciiTheme="majorHAnsi" w:hAnsiTheme="majorHAnsi"/>
                <w:color w:val="002060"/>
                <w:sz w:val="24"/>
                <w:szCs w:val="24"/>
                <w:lang w:val="en-US"/>
              </w:rPr>
              <w:t>s and qu</w:t>
            </w:r>
            <w:r>
              <w:rPr>
                <w:rFonts w:cs="Arial" w:ascii="Calibri Light" w:hAnsi="Calibri Light" w:asciiTheme="majorHAnsi" w:hAnsiTheme="majorHAnsi"/>
                <w:color w:val="002060"/>
              </w:rPr>
              <w:t>antitative problems</w:t>
            </w:r>
          </w:p>
        </w:tc>
      </w:tr>
    </w:tbl>
    <w:p>
      <w:pPr>
        <w:pStyle w:val="Normal"/>
        <w:widowControl w:val="false"/>
        <w:numPr>
          <w:ilvl w:val="0"/>
          <w:numId w:val="1"/>
        </w:numPr>
        <w:spacing w:lineRule="auto" w:line="276" w:before="240" w:after="200"/>
        <w:ind w:left="357" w:hanging="357"/>
        <w:rPr>
          <w:rFonts w:ascii="Calibri Light" w:hAnsi="Calibri Light" w:cs="Arial" w:asciiTheme="majorHAnsi" w:hAnsiTheme="majorHAnsi"/>
          <w:b/>
          <w:b/>
          <w:color w:val="000000"/>
          <w:sz w:val="22"/>
          <w:szCs w:val="22"/>
          <w:lang w:val="en-GB"/>
        </w:rPr>
      </w:pPr>
      <w:r>
        <w:rPr>
          <w:rFonts w:cs="Arial" w:ascii="Calibri Light" w:hAnsi="Calibri Light" w:asciiTheme="majorHAnsi" w:hAnsiTheme="majorHAnsi"/>
          <w:b/>
          <w:color w:val="000000"/>
          <w:sz w:val="22"/>
          <w:szCs w:val="22"/>
          <w:lang w:val="en-GB"/>
        </w:rPr>
        <w:t>ATTACHED BIBLIOGRAPHY</w:t>
      </w:r>
    </w:p>
    <w:tbl>
      <w:tblPr>
        <w:tblW w:w="8472"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 Suggested bibliography:</w:t>
            </w:r>
          </w:p>
          <w:p>
            <w:pPr>
              <w:pStyle w:val="ListParagraph"/>
              <w:widowControl w:val="false"/>
              <w:numPr>
                <w:ilvl w:val="0"/>
                <w:numId w:val="3"/>
              </w:numPr>
              <w:rPr>
                <w:rFonts w:ascii="Calibri" w:hAnsi="Calibri" w:asciiTheme="minorHAnsi" w:hAnsiTheme="minorHAnsi"/>
                <w:sz w:val="22"/>
                <w:szCs w:val="22"/>
                <w:lang w:val="en-GB"/>
              </w:rPr>
            </w:pPr>
            <w:r>
              <w:rPr>
                <w:rFonts w:eastAsia="Times New Roman" w:cs="Times New Roman" w:ascii="Calibri" w:hAnsi="Calibri" w:asciiTheme="minorHAnsi" w:hAnsiTheme="minorHAnsi"/>
                <w:sz w:val="22"/>
                <w:szCs w:val="22"/>
                <w:lang w:val="en-GB"/>
              </w:rPr>
              <w:t>E. Aguado, J. E. Burt</w:t>
            </w:r>
            <w:r>
              <w:rPr>
                <w:rFonts w:ascii="Calibri" w:hAnsi="Calibri" w:asciiTheme="minorHAnsi" w:hAnsiTheme="minorHAnsi"/>
                <w:sz w:val="22"/>
                <w:szCs w:val="22"/>
                <w:lang w:val="en-GB"/>
              </w:rPr>
              <w:t>, (</w:t>
            </w:r>
            <w:r>
              <w:rPr>
                <w:rFonts w:eastAsia="Times New Roman" w:cs="Times New Roman" w:ascii="Calibri" w:hAnsi="Calibri" w:asciiTheme="minorHAnsi" w:hAnsiTheme="minorHAnsi"/>
                <w:sz w:val="22"/>
                <w:szCs w:val="22"/>
                <w:lang w:val="en-GB"/>
              </w:rPr>
              <w:t>201</w:t>
            </w:r>
            <w:r>
              <w:rPr>
                <w:rFonts w:ascii="Calibri" w:hAnsi="Calibri" w:asciiTheme="minorHAnsi" w:hAnsiTheme="minorHAnsi"/>
                <w:sz w:val="22"/>
                <w:szCs w:val="22"/>
                <w:lang w:val="en-GB"/>
              </w:rPr>
              <w:t>9), Understanding weather and climate, in Greek, ION Editions, Athens</w:t>
            </w:r>
          </w:p>
          <w:p>
            <w:pPr>
              <w:pStyle w:val="ListParagraph"/>
              <w:widowControl w:val="false"/>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lang w:val="en-GB"/>
              </w:rPr>
              <w:t xml:space="preserve">Α. Α. Flocas, (1997), Lessons in meteorology and climatology, </w:t>
            </w:r>
            <w:r>
              <w:rPr>
                <w:rFonts w:eastAsia="Times New Roman" w:cs="Times New Roman" w:ascii="Calibri" w:hAnsi="Calibri" w:asciiTheme="minorHAnsi" w:hAnsiTheme="minorHAnsi"/>
                <w:sz w:val="22"/>
                <w:szCs w:val="22"/>
                <w:lang w:val="en-GB"/>
              </w:rPr>
              <w:t>in</w:t>
            </w:r>
            <w:r>
              <w:rPr>
                <w:rFonts w:ascii="Calibri" w:hAnsi="Calibri" w:asciiTheme="minorHAnsi" w:hAnsiTheme="minorHAnsi"/>
                <w:sz w:val="22"/>
                <w:szCs w:val="22"/>
                <w:lang w:val="en-GB"/>
              </w:rPr>
              <w:t xml:space="preserve"> Greek, Zitis Editions, Thessaloniki</w:t>
            </w:r>
          </w:p>
          <w:p>
            <w:pPr>
              <w:pStyle w:val="ListParagraph"/>
              <w:widowControl w:val="false"/>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lang w:val="en-GB"/>
              </w:rPr>
              <w:t>G. Donald Ahrens, (1999), Basic principles of meteorology, in Greek, ION Editions, Athens</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 Related academic journals:</w:t>
            </w:r>
          </w:p>
          <w:p>
            <w:pPr>
              <w:pStyle w:val="Normal"/>
              <w:widowControl w:val="false"/>
              <w:jc w:val="both"/>
              <w:rPr>
                <w:rFonts w:ascii="Calibri Light" w:hAnsi="Calibri Light" w:eastAsia="Calibri" w:cs="Arial" w:asciiTheme="majorHAnsi" w:hAnsiTheme="majorHAnsi"/>
                <w:color w:val="002060"/>
                <w:sz w:val="20"/>
                <w:szCs w:val="20"/>
                <w:lang w:val="en-GB"/>
              </w:rPr>
            </w:pPr>
            <w:r>
              <w:rPr>
                <w:rFonts w:eastAsia="Calibri" w:cs="Arial" w:ascii="Calibri Light" w:hAnsi="Calibri Light"/>
                <w:color w:val="002060"/>
                <w:sz w:val="20"/>
                <w:szCs w:val="20"/>
                <w:lang w:val="en-GB"/>
              </w:rPr>
            </w:r>
          </w:p>
          <w:p>
            <w:pPr>
              <w:pStyle w:val="Normal"/>
              <w:widowControl w:val="false"/>
              <w:jc w:val="both"/>
              <w:rPr>
                <w:rFonts w:ascii="Calibri Light" w:hAnsi="Calibri Light" w:eastAsia="Calibri" w:cs="Arial" w:asciiTheme="majorHAnsi" w:hAnsiTheme="majorHAnsi"/>
                <w:color w:val="002060"/>
                <w:lang w:val="en-GB"/>
              </w:rPr>
            </w:pPr>
            <w:r>
              <w:rPr>
                <w:rFonts w:eastAsia="Calibri" w:cs="Arial" w:ascii="Calibri Light" w:hAnsi="Calibri Light"/>
                <w:color w:val="002060"/>
                <w:lang w:val="en-GB"/>
              </w:rPr>
            </w:r>
          </w:p>
          <w:p>
            <w:pPr>
              <w:pStyle w:val="Normal"/>
              <w:widowControl w:val="false"/>
              <w:jc w:val="both"/>
              <w:rPr>
                <w:rFonts w:ascii="Calibri Light" w:hAnsi="Calibri Light" w:cs="Arial" w:asciiTheme="majorHAnsi" w:hAnsiTheme="majorHAnsi"/>
                <w:b/>
                <w:b/>
                <w:lang w:val="en-GB"/>
              </w:rPr>
            </w:pPr>
            <w:r>
              <w:rPr>
                <w:rFonts w:cs="Arial" w:ascii="Calibri Light" w:hAnsi="Calibri Light"/>
                <w:b/>
                <w:lang w:val="en-GB"/>
              </w:rPr>
            </w:r>
          </w:p>
        </w:tc>
      </w:tr>
    </w:tbl>
    <w:p>
      <w:pPr>
        <w:pStyle w:val="Normal"/>
        <w:rPr/>
      </w:pPr>
      <w:r>
        <w:rPr/>
      </w:r>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Light">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1"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1ec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6c1abe"/>
    <w:rPr>
      <w:sz w:val="16"/>
      <w:szCs w:val="16"/>
    </w:rPr>
  </w:style>
  <w:style w:type="character" w:styleId="Char" w:customStyle="1">
    <w:name w:val="Κείμενο σχολίου Char"/>
    <w:basedOn w:val="DefaultParagraphFont"/>
    <w:uiPriority w:val="99"/>
    <w:semiHidden/>
    <w:qFormat/>
    <w:rsid w:val="006c1abe"/>
    <w:rPr>
      <w:rFonts w:ascii="Times New Roman" w:hAnsi="Times New Roman" w:eastAsia="Times New Roman" w:cs="Times New Roman"/>
      <w:sz w:val="20"/>
      <w:szCs w:val="20"/>
      <w:lang w:val="en-US"/>
    </w:rPr>
  </w:style>
  <w:style w:type="character" w:styleId="Char1" w:customStyle="1">
    <w:name w:val="Θέμα σχολίου Char"/>
    <w:basedOn w:val="Char"/>
    <w:uiPriority w:val="99"/>
    <w:semiHidden/>
    <w:qFormat/>
    <w:rsid w:val="006c1abe"/>
    <w:rPr>
      <w:rFonts w:ascii="Times New Roman" w:hAnsi="Times New Roman" w:eastAsia="Times New Roman" w:cs="Times New Roman"/>
      <w:b/>
      <w:bCs/>
      <w:sz w:val="20"/>
      <w:szCs w:val="20"/>
      <w:lang w:val="en-US"/>
    </w:rPr>
  </w:style>
  <w:style w:type="character" w:styleId="Char2" w:customStyle="1">
    <w:name w:val="Κείμενο πλαισίου Char"/>
    <w:basedOn w:val="DefaultParagraphFont"/>
    <w:uiPriority w:val="99"/>
    <w:semiHidden/>
    <w:qFormat/>
    <w:rsid w:val="006c1abe"/>
    <w:rPr>
      <w:rFonts w:ascii="Segoe UI" w:hAnsi="Segoe UI" w:eastAsia="Times New Roman" w:cs="Segoe UI"/>
      <w:sz w:val="18"/>
      <w:szCs w:val="18"/>
      <w:lang w:val="en-U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c36535"/>
    <w:pPr>
      <w:spacing w:before="0" w:after="0"/>
      <w:ind w:left="720" w:hanging="0"/>
      <w:contextualSpacing/>
    </w:pPr>
    <w:rPr/>
  </w:style>
  <w:style w:type="paragraph" w:styleId="Annotationtext">
    <w:name w:val="annotation text"/>
    <w:basedOn w:val="Normal"/>
    <w:link w:val="Char"/>
    <w:uiPriority w:val="99"/>
    <w:semiHidden/>
    <w:unhideWhenUsed/>
    <w:qFormat/>
    <w:rsid w:val="006c1abe"/>
    <w:pPr/>
    <w:rPr>
      <w:sz w:val="20"/>
      <w:szCs w:val="20"/>
    </w:rPr>
  </w:style>
  <w:style w:type="paragraph" w:styleId="Annotationsubject">
    <w:name w:val="annotation subject"/>
    <w:basedOn w:val="Annotationtext"/>
    <w:next w:val="Annotationtext"/>
    <w:uiPriority w:val="99"/>
    <w:semiHidden/>
    <w:unhideWhenUsed/>
    <w:qFormat/>
    <w:rsid w:val="006c1abe"/>
    <w:pPr/>
    <w:rPr>
      <w:b/>
      <w:bCs/>
    </w:rPr>
  </w:style>
  <w:style w:type="paragraph" w:styleId="BalloonText">
    <w:name w:val="Balloon Text"/>
    <w:basedOn w:val="Normal"/>
    <w:link w:val="Char1"/>
    <w:uiPriority w:val="99"/>
    <w:semiHidden/>
    <w:unhideWhenUsed/>
    <w:qFormat/>
    <w:rsid w:val="006c1abe"/>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3">
    <w:name w:val="Table Grid3"/>
    <w:uiPriority w:val="99"/>
    <w:rsid w:val="00cc1ec5"/>
    <w:pPr>
      <w:spacing w:after="0" w:line="240" w:lineRule="auto"/>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Application>LibreOffice/7.3.7.2$Linux_X86_64 LibreOffice_project/30$Build-2</Application>
  <AppVersion>15.0000</AppVersion>
  <DocSecurity>0</DocSecurity>
  <Pages>3</Pages>
  <Words>753</Words>
  <Characters>4691</Characters>
  <CharactersWithSpaces>5306</CharactersWithSpaces>
  <Paragraphs>111</Paragraphs>
  <Company>University of the Aegean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2017-06-12T18:39:00Z</dcterms:created>
  <dc:creator>Tsaliki Katerina</dc:creator>
  <dc:description/>
  <dc:language>en-US</dc:language>
  <cp:lastModifiedBy>Christos Matsoukas</cp:lastModifiedBy>
  <dcterms:modified xsi:type="dcterms:W3CDTF">2023-09-27T15:38:25Z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